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740E" w:rsidRDefault="00560B46">
      <w:pPr>
        <w:pStyle w:val="Heading1"/>
      </w:pPr>
      <w:bookmarkStart w:id="0" w:name="_GoBack"/>
      <w:bookmarkEnd w:id="0"/>
      <w:r>
        <w:rPr>
          <w:noProof/>
        </w:rPr>
        <w:drawing>
          <wp:inline distT="0" distB="0" distL="0" distR="0">
            <wp:extent cx="1714500" cy="971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14500" cy="971550"/>
                    </a:xfrm>
                    <a:prstGeom prst="rect">
                      <a:avLst/>
                    </a:prstGeom>
                    <a:ln/>
                  </pic:spPr>
                </pic:pic>
              </a:graphicData>
            </a:graphic>
          </wp:inline>
        </w:drawing>
      </w:r>
    </w:p>
    <w:p w:rsidR="0005740E" w:rsidRDefault="00560B46">
      <w:pPr>
        <w:pStyle w:val="Heading1"/>
      </w:pPr>
      <w:r>
        <w:rPr>
          <w:sz w:val="32"/>
          <w:szCs w:val="32"/>
        </w:rPr>
        <w:t>Math 150 / Pre-Calculus Mathematics</w:t>
      </w:r>
    </w:p>
    <w:tbl>
      <w:tblPr>
        <w:tblStyle w:val="a"/>
        <w:tblW w:w="887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36"/>
        <w:gridCol w:w="4436"/>
      </w:tblGrid>
      <w:tr w:rsidR="0005740E">
        <w:trPr>
          <w:trHeight w:val="520"/>
        </w:trPr>
        <w:tc>
          <w:tcPr>
            <w:tcW w:w="4436" w:type="dxa"/>
          </w:tcPr>
          <w:p w:rsidR="0005740E" w:rsidRDefault="00560B46">
            <w:pPr>
              <w:spacing w:before="100" w:after="100"/>
              <w:contextualSpacing w:val="0"/>
            </w:pPr>
            <w:r>
              <w:rPr>
                <w:b/>
              </w:rPr>
              <w:t xml:space="preserve">TERM:    </w:t>
            </w:r>
            <w:r>
              <w:t>2015-2016</w:t>
            </w:r>
          </w:p>
          <w:p w:rsidR="0005740E" w:rsidRDefault="0005740E">
            <w:pPr>
              <w:spacing w:before="100" w:after="100"/>
              <w:contextualSpacing w:val="0"/>
              <w:jc w:val="center"/>
            </w:pPr>
          </w:p>
        </w:tc>
        <w:tc>
          <w:tcPr>
            <w:tcW w:w="4436" w:type="dxa"/>
          </w:tcPr>
          <w:p w:rsidR="0005740E" w:rsidRDefault="0005740E">
            <w:pPr>
              <w:spacing w:before="100" w:after="100"/>
              <w:contextualSpacing w:val="0"/>
            </w:pPr>
          </w:p>
          <w:p w:rsidR="0005740E" w:rsidRDefault="0005740E">
            <w:pPr>
              <w:spacing w:before="100" w:after="100"/>
              <w:contextualSpacing w:val="0"/>
            </w:pPr>
          </w:p>
          <w:p w:rsidR="0005740E" w:rsidRDefault="0005740E">
            <w:pPr>
              <w:spacing w:before="100" w:after="100"/>
              <w:contextualSpacing w:val="0"/>
            </w:pPr>
          </w:p>
          <w:p w:rsidR="0005740E" w:rsidRDefault="0005740E">
            <w:pPr>
              <w:spacing w:before="100" w:after="100"/>
              <w:contextualSpacing w:val="0"/>
            </w:pPr>
          </w:p>
        </w:tc>
      </w:tr>
      <w:tr w:rsidR="0005740E">
        <w:trPr>
          <w:trHeight w:val="520"/>
        </w:trPr>
        <w:tc>
          <w:tcPr>
            <w:tcW w:w="4436" w:type="dxa"/>
          </w:tcPr>
          <w:p w:rsidR="0005740E" w:rsidRDefault="00560B46">
            <w:pPr>
              <w:spacing w:before="100" w:after="100"/>
              <w:contextualSpacing w:val="0"/>
            </w:pPr>
            <w:r>
              <w:rPr>
                <w:b/>
                <w:sz w:val="20"/>
                <w:szCs w:val="20"/>
              </w:rPr>
              <w:t>CREDIT HOURS:</w:t>
            </w:r>
            <w:r>
              <w:rPr>
                <w:sz w:val="20"/>
                <w:szCs w:val="20"/>
              </w:rPr>
              <w:t xml:space="preserve">     3</w:t>
            </w:r>
          </w:p>
          <w:p w:rsidR="0005740E" w:rsidRDefault="0005740E">
            <w:pPr>
              <w:contextualSpacing w:val="0"/>
            </w:pPr>
          </w:p>
        </w:tc>
        <w:tc>
          <w:tcPr>
            <w:tcW w:w="4436" w:type="dxa"/>
          </w:tcPr>
          <w:p w:rsidR="0005740E" w:rsidRDefault="00560B46">
            <w:pPr>
              <w:spacing w:before="100" w:after="100"/>
              <w:contextualSpacing w:val="0"/>
            </w:pPr>
            <w:r>
              <w:rPr>
                <w:b/>
                <w:sz w:val="20"/>
                <w:szCs w:val="20"/>
              </w:rPr>
              <w:t>CARNEGIE UNITS:    1</w:t>
            </w:r>
          </w:p>
        </w:tc>
      </w:tr>
      <w:tr w:rsidR="0005740E">
        <w:trPr>
          <w:trHeight w:val="520"/>
        </w:trPr>
        <w:tc>
          <w:tcPr>
            <w:tcW w:w="4436" w:type="dxa"/>
          </w:tcPr>
          <w:p w:rsidR="0005740E" w:rsidRDefault="00560B46">
            <w:pPr>
              <w:spacing w:before="100" w:after="100"/>
              <w:contextualSpacing w:val="0"/>
            </w:pPr>
            <w:r>
              <w:rPr>
                <w:b/>
                <w:sz w:val="20"/>
                <w:szCs w:val="20"/>
              </w:rPr>
              <w:t>CLASS MEETING TIME:</w:t>
            </w:r>
            <w:r>
              <w:rPr>
                <w:sz w:val="20"/>
                <w:szCs w:val="20"/>
              </w:rPr>
              <w:t xml:space="preserve">  </w:t>
            </w:r>
            <w:r>
              <w:rPr>
                <w:sz w:val="20"/>
                <w:szCs w:val="20"/>
              </w:rPr>
              <w:t>2nd period</w:t>
            </w:r>
            <w:r>
              <w:rPr>
                <w:sz w:val="20"/>
                <w:szCs w:val="20"/>
              </w:rPr>
              <w:t xml:space="preserve"> </w:t>
            </w:r>
          </w:p>
          <w:p w:rsidR="0005740E" w:rsidRDefault="0005740E">
            <w:pPr>
              <w:pStyle w:val="Heading1"/>
              <w:contextualSpacing w:val="0"/>
              <w:outlineLvl w:val="0"/>
            </w:pPr>
          </w:p>
        </w:tc>
        <w:tc>
          <w:tcPr>
            <w:tcW w:w="4436" w:type="dxa"/>
          </w:tcPr>
          <w:p w:rsidR="0005740E" w:rsidRDefault="00560B46">
            <w:pPr>
              <w:spacing w:before="100" w:after="100"/>
              <w:contextualSpacing w:val="0"/>
            </w:pPr>
            <w:r>
              <w:rPr>
                <w:b/>
                <w:sz w:val="20"/>
                <w:szCs w:val="20"/>
              </w:rPr>
              <w:t>LOCATION:</w:t>
            </w:r>
            <w:r>
              <w:rPr>
                <w:sz w:val="20"/>
                <w:szCs w:val="20"/>
              </w:rPr>
              <w:t xml:space="preserve">   MCS</w:t>
            </w:r>
          </w:p>
          <w:p w:rsidR="0005740E" w:rsidRDefault="0005740E">
            <w:pPr>
              <w:pStyle w:val="Heading1"/>
              <w:contextualSpacing w:val="0"/>
              <w:outlineLvl w:val="0"/>
            </w:pPr>
          </w:p>
        </w:tc>
      </w:tr>
      <w:tr w:rsidR="0005740E">
        <w:trPr>
          <w:trHeight w:val="520"/>
        </w:trPr>
        <w:tc>
          <w:tcPr>
            <w:tcW w:w="4436" w:type="dxa"/>
          </w:tcPr>
          <w:p w:rsidR="0005740E" w:rsidRDefault="00560B46">
            <w:pPr>
              <w:spacing w:before="100" w:after="100"/>
              <w:contextualSpacing w:val="0"/>
            </w:pPr>
            <w:r>
              <w:rPr>
                <w:b/>
                <w:sz w:val="20"/>
                <w:szCs w:val="20"/>
              </w:rPr>
              <w:t>INSTRUCTOR NAME:</w:t>
            </w:r>
            <w:r>
              <w:rPr>
                <w:sz w:val="20"/>
                <w:szCs w:val="20"/>
              </w:rPr>
              <w:t xml:space="preserve">  J. Leaver</w:t>
            </w:r>
          </w:p>
          <w:p w:rsidR="0005740E" w:rsidRDefault="0005740E">
            <w:pPr>
              <w:pStyle w:val="Heading1"/>
              <w:contextualSpacing w:val="0"/>
              <w:outlineLvl w:val="0"/>
            </w:pPr>
          </w:p>
        </w:tc>
        <w:tc>
          <w:tcPr>
            <w:tcW w:w="4436" w:type="dxa"/>
          </w:tcPr>
          <w:p w:rsidR="0005740E" w:rsidRDefault="00560B46">
            <w:pPr>
              <w:spacing w:before="100" w:after="100"/>
              <w:ind w:left="720" w:hanging="720"/>
              <w:contextualSpacing w:val="0"/>
            </w:pPr>
            <w:r>
              <w:rPr>
                <w:b/>
                <w:sz w:val="20"/>
                <w:szCs w:val="20"/>
              </w:rPr>
              <w:t xml:space="preserve">OFFICE PHONE:  </w:t>
            </w:r>
            <w:r>
              <w:rPr>
                <w:sz w:val="20"/>
                <w:szCs w:val="20"/>
              </w:rPr>
              <w:t>n/a</w:t>
            </w:r>
          </w:p>
          <w:p w:rsidR="0005740E" w:rsidRDefault="0005740E">
            <w:pPr>
              <w:pStyle w:val="Heading1"/>
              <w:contextualSpacing w:val="0"/>
              <w:outlineLvl w:val="0"/>
            </w:pPr>
          </w:p>
        </w:tc>
      </w:tr>
      <w:tr w:rsidR="0005740E">
        <w:trPr>
          <w:trHeight w:val="520"/>
        </w:trPr>
        <w:tc>
          <w:tcPr>
            <w:tcW w:w="4436" w:type="dxa"/>
          </w:tcPr>
          <w:p w:rsidR="0005740E" w:rsidRDefault="00560B46">
            <w:pPr>
              <w:spacing w:before="100" w:after="100"/>
              <w:contextualSpacing w:val="0"/>
            </w:pPr>
            <w:r>
              <w:rPr>
                <w:b/>
                <w:sz w:val="20"/>
                <w:szCs w:val="20"/>
              </w:rPr>
              <w:t xml:space="preserve">OFFICE ADDRESS:   </w:t>
            </w:r>
            <w:r>
              <w:rPr>
                <w:sz w:val="20"/>
                <w:szCs w:val="20"/>
              </w:rPr>
              <w:t>n/a</w:t>
            </w:r>
          </w:p>
          <w:p w:rsidR="0005740E" w:rsidRDefault="0005740E">
            <w:pPr>
              <w:spacing w:before="100" w:after="100"/>
              <w:contextualSpacing w:val="0"/>
            </w:pPr>
          </w:p>
          <w:p w:rsidR="0005740E" w:rsidRDefault="0005740E">
            <w:pPr>
              <w:pStyle w:val="Heading1"/>
              <w:contextualSpacing w:val="0"/>
              <w:outlineLvl w:val="0"/>
            </w:pPr>
          </w:p>
        </w:tc>
        <w:tc>
          <w:tcPr>
            <w:tcW w:w="4436" w:type="dxa"/>
          </w:tcPr>
          <w:p w:rsidR="0005740E" w:rsidRDefault="00560B46">
            <w:pPr>
              <w:spacing w:before="100" w:after="100"/>
              <w:contextualSpacing w:val="0"/>
            </w:pPr>
            <w:r>
              <w:rPr>
                <w:b/>
                <w:sz w:val="20"/>
                <w:szCs w:val="20"/>
              </w:rPr>
              <w:t xml:space="preserve">EMAIL ADDRESS:  </w:t>
            </w:r>
            <w:r>
              <w:rPr>
                <w:sz w:val="20"/>
                <w:szCs w:val="20"/>
              </w:rPr>
              <w:t xml:space="preserve"> jleaver@margaretvillecs.org</w:t>
            </w:r>
          </w:p>
          <w:p w:rsidR="0005740E" w:rsidRDefault="0005740E">
            <w:pPr>
              <w:spacing w:before="100" w:after="100"/>
              <w:contextualSpacing w:val="0"/>
            </w:pPr>
          </w:p>
          <w:p w:rsidR="0005740E" w:rsidRDefault="0005740E">
            <w:pPr>
              <w:pStyle w:val="Heading1"/>
              <w:contextualSpacing w:val="0"/>
              <w:outlineLvl w:val="0"/>
            </w:pPr>
          </w:p>
        </w:tc>
      </w:tr>
    </w:tbl>
    <w:p w:rsidR="0005740E" w:rsidRDefault="00560B46">
      <w:pPr>
        <w:spacing w:before="100" w:after="100"/>
      </w:pPr>
      <w:r>
        <w:rPr>
          <w:b/>
          <w:sz w:val="20"/>
          <w:szCs w:val="20"/>
        </w:rPr>
        <w:t>COURSE DESCRIPTION:</w:t>
      </w:r>
      <w:r>
        <w:rPr>
          <w:sz w:val="20"/>
          <w:szCs w:val="20"/>
        </w:rPr>
        <w:t xml:space="preserve">   </w:t>
      </w:r>
      <w:r>
        <w:rPr>
          <w:sz w:val="20"/>
          <w:szCs w:val="20"/>
          <w:highlight w:val="white"/>
        </w:rPr>
        <w:t xml:space="preserve">This is </w:t>
      </w:r>
      <w:r>
        <w:rPr>
          <w:sz w:val="20"/>
          <w:szCs w:val="20"/>
          <w:highlight w:val="white"/>
        </w:rPr>
        <w:t xml:space="preserve">the first year of an integrated approach of Pre-Calculus concepts into the </w:t>
      </w:r>
      <w:proofErr w:type="gramStart"/>
      <w:r>
        <w:rPr>
          <w:sz w:val="20"/>
          <w:szCs w:val="20"/>
          <w:highlight w:val="white"/>
        </w:rPr>
        <w:t>MCS  Physics</w:t>
      </w:r>
      <w:proofErr w:type="gramEnd"/>
      <w:r>
        <w:rPr>
          <w:sz w:val="20"/>
          <w:szCs w:val="20"/>
          <w:highlight w:val="white"/>
        </w:rPr>
        <w:t xml:space="preserve"> course.  This integrated course is inquiry based where students will have all the Pre-Calculus and Physics concepts needed to solve open-ended, real-life problems.  The</w:t>
      </w:r>
      <w:r>
        <w:rPr>
          <w:sz w:val="20"/>
          <w:szCs w:val="20"/>
          <w:highlight w:val="white"/>
        </w:rPr>
        <w:t xml:space="preserve"> course is designed so students will be successful on the NYS Physics Regents Exam as well as to meet the requirements for college credit in </w:t>
      </w:r>
      <w:proofErr w:type="spellStart"/>
      <w:r>
        <w:rPr>
          <w:sz w:val="20"/>
          <w:szCs w:val="20"/>
          <w:highlight w:val="white"/>
        </w:rPr>
        <w:t>PreCalculus</w:t>
      </w:r>
      <w:proofErr w:type="spellEnd"/>
      <w:r>
        <w:rPr>
          <w:sz w:val="20"/>
          <w:szCs w:val="20"/>
          <w:highlight w:val="white"/>
        </w:rPr>
        <w:t>.</w:t>
      </w:r>
    </w:p>
    <w:p w:rsidR="0005740E" w:rsidRDefault="00560B46">
      <w:pPr>
        <w:spacing w:before="100" w:after="100"/>
      </w:pPr>
      <w:r>
        <w:rPr>
          <w:b/>
          <w:sz w:val="20"/>
          <w:szCs w:val="20"/>
        </w:rPr>
        <w:t>PRE-REQUISITES:</w:t>
      </w:r>
      <w:r>
        <w:rPr>
          <w:sz w:val="20"/>
          <w:szCs w:val="20"/>
        </w:rPr>
        <w:t xml:space="preserve">     High School Algebra II-Trigonometry Course</w:t>
      </w:r>
    </w:p>
    <w:p w:rsidR="0005740E" w:rsidRDefault="00560B46">
      <w:pPr>
        <w:spacing w:before="100" w:after="100"/>
      </w:pPr>
      <w:r>
        <w:rPr>
          <w:b/>
          <w:sz w:val="20"/>
          <w:szCs w:val="20"/>
        </w:rPr>
        <w:t>STUDENT LEARNING OUTCOMES:</w:t>
      </w:r>
      <w:r>
        <w:rPr>
          <w:sz w:val="20"/>
          <w:szCs w:val="20"/>
        </w:rPr>
        <w:t xml:space="preserve"> </w:t>
      </w:r>
    </w:p>
    <w:p w:rsidR="0005740E" w:rsidRDefault="00560B46">
      <w:pPr>
        <w:numPr>
          <w:ilvl w:val="0"/>
          <w:numId w:val="1"/>
        </w:numPr>
        <w:spacing w:before="100" w:after="100"/>
        <w:ind w:hanging="360"/>
        <w:rPr>
          <w:sz w:val="20"/>
          <w:szCs w:val="20"/>
        </w:rPr>
      </w:pPr>
      <w:r>
        <w:rPr>
          <w:sz w:val="20"/>
          <w:szCs w:val="20"/>
        </w:rPr>
        <w:t xml:space="preserve"> Represent </w:t>
      </w:r>
      <w:r>
        <w:rPr>
          <w:sz w:val="20"/>
          <w:szCs w:val="20"/>
        </w:rPr>
        <w:t>and manipulate algebraic and trigonometric functions and relations algebraically, graphically, and numerically, including partial fraction decomposition and finding zeros of functions.</w:t>
      </w:r>
    </w:p>
    <w:p w:rsidR="0005740E" w:rsidRDefault="00560B46">
      <w:pPr>
        <w:numPr>
          <w:ilvl w:val="0"/>
          <w:numId w:val="1"/>
        </w:numPr>
        <w:spacing w:before="100" w:after="100"/>
        <w:ind w:hanging="360"/>
        <w:rPr>
          <w:sz w:val="20"/>
          <w:szCs w:val="20"/>
        </w:rPr>
      </w:pPr>
      <w:r>
        <w:rPr>
          <w:sz w:val="20"/>
          <w:szCs w:val="20"/>
        </w:rPr>
        <w:t>Engage in algebraic and trigonometric problem solving and modeling.</w:t>
      </w:r>
    </w:p>
    <w:p w:rsidR="0005740E" w:rsidRDefault="00560B46">
      <w:pPr>
        <w:numPr>
          <w:ilvl w:val="0"/>
          <w:numId w:val="1"/>
        </w:numPr>
        <w:spacing w:before="100" w:after="100"/>
        <w:ind w:hanging="360"/>
        <w:rPr>
          <w:sz w:val="20"/>
          <w:szCs w:val="20"/>
        </w:rPr>
      </w:pPr>
      <w:r>
        <w:rPr>
          <w:sz w:val="20"/>
          <w:szCs w:val="20"/>
        </w:rPr>
        <w:t>Syn</w:t>
      </w:r>
      <w:r>
        <w:rPr>
          <w:sz w:val="20"/>
          <w:szCs w:val="20"/>
        </w:rPr>
        <w:t>thesize algebraic and trigonometric facts and laws into proofs.</w:t>
      </w:r>
    </w:p>
    <w:p w:rsidR="0005740E" w:rsidRDefault="00560B46">
      <w:pPr>
        <w:numPr>
          <w:ilvl w:val="0"/>
          <w:numId w:val="1"/>
        </w:numPr>
        <w:spacing w:before="100" w:after="100"/>
        <w:ind w:hanging="360"/>
        <w:rPr>
          <w:sz w:val="20"/>
          <w:szCs w:val="20"/>
        </w:rPr>
      </w:pPr>
      <w:r>
        <w:rPr>
          <w:sz w:val="20"/>
          <w:szCs w:val="20"/>
        </w:rPr>
        <w:t xml:space="preserve">Analyze and manipulate equations between various two dimensional systems such as rectangular, polar, vector representations, conic systems and axes manipulations, as well as solving equations </w:t>
      </w:r>
      <w:r>
        <w:rPr>
          <w:sz w:val="20"/>
          <w:szCs w:val="20"/>
        </w:rPr>
        <w:t>in these systems.</w:t>
      </w:r>
    </w:p>
    <w:p w:rsidR="0005740E" w:rsidRDefault="00560B46">
      <w:pPr>
        <w:numPr>
          <w:ilvl w:val="0"/>
          <w:numId w:val="1"/>
        </w:numPr>
        <w:spacing w:before="100" w:after="100"/>
        <w:ind w:hanging="360"/>
        <w:rPr>
          <w:sz w:val="20"/>
          <w:szCs w:val="20"/>
        </w:rPr>
      </w:pPr>
      <w:r>
        <w:rPr>
          <w:sz w:val="20"/>
          <w:szCs w:val="20"/>
        </w:rPr>
        <w:t>Investigate and perform summations and predictions on geometric, algebraic and binomial sequences and series.</w:t>
      </w:r>
    </w:p>
    <w:p w:rsidR="0005740E" w:rsidRDefault="00560B46">
      <w:pPr>
        <w:spacing w:before="100" w:after="100"/>
      </w:pPr>
      <w:r>
        <w:rPr>
          <w:b/>
          <w:sz w:val="20"/>
          <w:szCs w:val="20"/>
        </w:rPr>
        <w:lastRenderedPageBreak/>
        <w:t xml:space="preserve">COURSE OBJECTIVES:  </w:t>
      </w:r>
      <w:r>
        <w:rPr>
          <w:sz w:val="20"/>
          <w:szCs w:val="20"/>
        </w:rPr>
        <w:t>This course is intended primarily to prepare students for a course in Calculus and to successfully solve</w:t>
      </w:r>
      <w:r>
        <w:rPr>
          <w:sz w:val="20"/>
          <w:szCs w:val="20"/>
        </w:rPr>
        <w:t xml:space="preserve"> real-life physics problems using mathematics</w:t>
      </w:r>
      <w:proofErr w:type="gramStart"/>
      <w:r>
        <w:rPr>
          <w:sz w:val="20"/>
          <w:szCs w:val="20"/>
        </w:rPr>
        <w:t>.</w:t>
      </w:r>
      <w:r>
        <w:rPr>
          <w:sz w:val="20"/>
          <w:szCs w:val="20"/>
        </w:rPr>
        <w:t>.</w:t>
      </w:r>
      <w:proofErr w:type="gramEnd"/>
      <w:r>
        <w:rPr>
          <w:sz w:val="20"/>
          <w:szCs w:val="20"/>
        </w:rPr>
        <w:t xml:space="preserve">  It can also be used for general Mathematics credit.  This course will provide students with a working knowledge of elementary functions and their graphs, including polynomial, rational, logarithmic, exponent</w:t>
      </w:r>
      <w:r>
        <w:rPr>
          <w:sz w:val="20"/>
          <w:szCs w:val="20"/>
        </w:rPr>
        <w:t xml:space="preserve">ial, and trigonometric functions, and to become proficient in the algebra of functions. </w:t>
      </w:r>
    </w:p>
    <w:p w:rsidR="0005740E" w:rsidRDefault="0005740E">
      <w:pPr>
        <w:spacing w:before="100" w:after="100"/>
      </w:pPr>
      <w:bookmarkStart w:id="1" w:name="h.gjdgxs" w:colFirst="0" w:colLast="0"/>
      <w:bookmarkEnd w:id="1"/>
    </w:p>
    <w:p w:rsidR="0005740E" w:rsidRDefault="0005740E">
      <w:pPr>
        <w:spacing w:before="100" w:after="100"/>
      </w:pPr>
    </w:p>
    <w:p w:rsidR="0005740E" w:rsidRDefault="00560B46">
      <w:pPr>
        <w:spacing w:before="100" w:after="100"/>
      </w:pPr>
      <w:r>
        <w:rPr>
          <w:b/>
          <w:sz w:val="20"/>
          <w:szCs w:val="20"/>
        </w:rPr>
        <w:t xml:space="preserve">GRADING CRITERIA: </w:t>
      </w: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4"/>
        <w:gridCol w:w="4422"/>
      </w:tblGrid>
      <w:tr w:rsidR="0005740E">
        <w:tc>
          <w:tcPr>
            <w:tcW w:w="4434" w:type="dxa"/>
          </w:tcPr>
          <w:p w:rsidR="0005740E" w:rsidRDefault="00560B46">
            <w:pPr>
              <w:contextualSpacing w:val="0"/>
              <w:jc w:val="center"/>
            </w:pPr>
            <w:r>
              <w:t>Course Average</w:t>
            </w:r>
          </w:p>
        </w:tc>
        <w:tc>
          <w:tcPr>
            <w:tcW w:w="4422" w:type="dxa"/>
          </w:tcPr>
          <w:p w:rsidR="0005740E" w:rsidRDefault="00560B46">
            <w:pPr>
              <w:contextualSpacing w:val="0"/>
              <w:jc w:val="center"/>
            </w:pPr>
            <w:r>
              <w:t>Course Letter Grade</w:t>
            </w:r>
          </w:p>
        </w:tc>
      </w:tr>
      <w:tr w:rsidR="0005740E">
        <w:tc>
          <w:tcPr>
            <w:tcW w:w="4434" w:type="dxa"/>
          </w:tcPr>
          <w:p w:rsidR="0005740E" w:rsidRDefault="00560B46">
            <w:pPr>
              <w:contextualSpacing w:val="0"/>
              <w:jc w:val="center"/>
            </w:pPr>
            <w:r>
              <w:t>92.5-100</w:t>
            </w:r>
          </w:p>
        </w:tc>
        <w:tc>
          <w:tcPr>
            <w:tcW w:w="4422" w:type="dxa"/>
          </w:tcPr>
          <w:p w:rsidR="0005740E" w:rsidRDefault="00560B46">
            <w:pPr>
              <w:contextualSpacing w:val="0"/>
              <w:jc w:val="center"/>
            </w:pPr>
            <w:r>
              <w:t>A</w:t>
            </w:r>
          </w:p>
        </w:tc>
      </w:tr>
      <w:tr w:rsidR="0005740E">
        <w:tc>
          <w:tcPr>
            <w:tcW w:w="4434" w:type="dxa"/>
          </w:tcPr>
          <w:p w:rsidR="0005740E" w:rsidRDefault="00560B46">
            <w:pPr>
              <w:contextualSpacing w:val="0"/>
              <w:jc w:val="center"/>
            </w:pPr>
            <w:r>
              <w:t>89.5-92.4</w:t>
            </w:r>
          </w:p>
        </w:tc>
        <w:tc>
          <w:tcPr>
            <w:tcW w:w="4422" w:type="dxa"/>
          </w:tcPr>
          <w:p w:rsidR="0005740E" w:rsidRDefault="00560B46">
            <w:pPr>
              <w:contextualSpacing w:val="0"/>
              <w:jc w:val="center"/>
            </w:pPr>
            <w:r>
              <w:t>A-</w:t>
            </w:r>
          </w:p>
        </w:tc>
      </w:tr>
      <w:tr w:rsidR="0005740E">
        <w:tc>
          <w:tcPr>
            <w:tcW w:w="4434" w:type="dxa"/>
          </w:tcPr>
          <w:p w:rsidR="0005740E" w:rsidRDefault="00560B46">
            <w:pPr>
              <w:contextualSpacing w:val="0"/>
              <w:jc w:val="center"/>
            </w:pPr>
            <w:r>
              <w:t>86.5-89.4</w:t>
            </w:r>
          </w:p>
        </w:tc>
        <w:tc>
          <w:tcPr>
            <w:tcW w:w="4422" w:type="dxa"/>
          </w:tcPr>
          <w:p w:rsidR="0005740E" w:rsidRDefault="00560B46">
            <w:pPr>
              <w:contextualSpacing w:val="0"/>
              <w:jc w:val="center"/>
            </w:pPr>
            <w:r>
              <w:t>B+</w:t>
            </w:r>
          </w:p>
        </w:tc>
      </w:tr>
      <w:tr w:rsidR="0005740E">
        <w:tc>
          <w:tcPr>
            <w:tcW w:w="4434" w:type="dxa"/>
          </w:tcPr>
          <w:p w:rsidR="0005740E" w:rsidRDefault="00560B46">
            <w:pPr>
              <w:contextualSpacing w:val="0"/>
              <w:jc w:val="center"/>
            </w:pPr>
            <w:r>
              <w:t>82.5-86.4</w:t>
            </w:r>
          </w:p>
        </w:tc>
        <w:tc>
          <w:tcPr>
            <w:tcW w:w="4422" w:type="dxa"/>
          </w:tcPr>
          <w:p w:rsidR="0005740E" w:rsidRDefault="00560B46">
            <w:pPr>
              <w:contextualSpacing w:val="0"/>
              <w:jc w:val="center"/>
            </w:pPr>
            <w:r>
              <w:t>B</w:t>
            </w:r>
          </w:p>
        </w:tc>
      </w:tr>
      <w:tr w:rsidR="0005740E">
        <w:tc>
          <w:tcPr>
            <w:tcW w:w="4434" w:type="dxa"/>
          </w:tcPr>
          <w:p w:rsidR="0005740E" w:rsidRDefault="00560B46">
            <w:pPr>
              <w:contextualSpacing w:val="0"/>
              <w:jc w:val="center"/>
            </w:pPr>
            <w:r>
              <w:t>79.5-82.4</w:t>
            </w:r>
          </w:p>
        </w:tc>
        <w:tc>
          <w:tcPr>
            <w:tcW w:w="4422" w:type="dxa"/>
          </w:tcPr>
          <w:p w:rsidR="0005740E" w:rsidRDefault="00560B46">
            <w:pPr>
              <w:contextualSpacing w:val="0"/>
              <w:jc w:val="center"/>
            </w:pPr>
            <w:r>
              <w:t>B-</w:t>
            </w:r>
          </w:p>
        </w:tc>
      </w:tr>
      <w:tr w:rsidR="0005740E">
        <w:tc>
          <w:tcPr>
            <w:tcW w:w="4434" w:type="dxa"/>
          </w:tcPr>
          <w:p w:rsidR="0005740E" w:rsidRDefault="00560B46">
            <w:pPr>
              <w:contextualSpacing w:val="0"/>
              <w:jc w:val="center"/>
            </w:pPr>
            <w:r>
              <w:t>76.5-79.4</w:t>
            </w:r>
          </w:p>
        </w:tc>
        <w:tc>
          <w:tcPr>
            <w:tcW w:w="4422" w:type="dxa"/>
          </w:tcPr>
          <w:p w:rsidR="0005740E" w:rsidRDefault="00560B46">
            <w:pPr>
              <w:contextualSpacing w:val="0"/>
              <w:jc w:val="center"/>
            </w:pPr>
            <w:r>
              <w:t>C+</w:t>
            </w:r>
          </w:p>
        </w:tc>
      </w:tr>
      <w:tr w:rsidR="0005740E">
        <w:tc>
          <w:tcPr>
            <w:tcW w:w="4434" w:type="dxa"/>
          </w:tcPr>
          <w:p w:rsidR="0005740E" w:rsidRDefault="00560B46">
            <w:pPr>
              <w:contextualSpacing w:val="0"/>
              <w:jc w:val="center"/>
            </w:pPr>
            <w:r>
              <w:t>72.5-76.4</w:t>
            </w:r>
          </w:p>
        </w:tc>
        <w:tc>
          <w:tcPr>
            <w:tcW w:w="4422" w:type="dxa"/>
          </w:tcPr>
          <w:p w:rsidR="0005740E" w:rsidRDefault="00560B46">
            <w:pPr>
              <w:contextualSpacing w:val="0"/>
              <w:jc w:val="center"/>
            </w:pPr>
            <w:r>
              <w:t>C</w:t>
            </w:r>
          </w:p>
        </w:tc>
      </w:tr>
      <w:tr w:rsidR="0005740E">
        <w:tc>
          <w:tcPr>
            <w:tcW w:w="4434" w:type="dxa"/>
          </w:tcPr>
          <w:p w:rsidR="0005740E" w:rsidRDefault="00560B46">
            <w:pPr>
              <w:contextualSpacing w:val="0"/>
              <w:jc w:val="center"/>
            </w:pPr>
            <w:r>
              <w:t>69.5-72.4</w:t>
            </w:r>
          </w:p>
        </w:tc>
        <w:tc>
          <w:tcPr>
            <w:tcW w:w="4422" w:type="dxa"/>
          </w:tcPr>
          <w:p w:rsidR="0005740E" w:rsidRDefault="00560B46">
            <w:pPr>
              <w:contextualSpacing w:val="0"/>
              <w:jc w:val="center"/>
            </w:pPr>
            <w:r>
              <w:t>C-</w:t>
            </w:r>
          </w:p>
        </w:tc>
      </w:tr>
      <w:tr w:rsidR="0005740E">
        <w:tc>
          <w:tcPr>
            <w:tcW w:w="4434" w:type="dxa"/>
          </w:tcPr>
          <w:p w:rsidR="0005740E" w:rsidRDefault="00560B46">
            <w:pPr>
              <w:contextualSpacing w:val="0"/>
              <w:jc w:val="center"/>
            </w:pPr>
            <w:r>
              <w:t>66.5-69.4</w:t>
            </w:r>
          </w:p>
        </w:tc>
        <w:tc>
          <w:tcPr>
            <w:tcW w:w="4422" w:type="dxa"/>
          </w:tcPr>
          <w:p w:rsidR="0005740E" w:rsidRDefault="00560B46">
            <w:pPr>
              <w:contextualSpacing w:val="0"/>
              <w:jc w:val="center"/>
            </w:pPr>
            <w:r>
              <w:t>D+</w:t>
            </w:r>
          </w:p>
        </w:tc>
      </w:tr>
      <w:tr w:rsidR="0005740E">
        <w:tc>
          <w:tcPr>
            <w:tcW w:w="4434" w:type="dxa"/>
          </w:tcPr>
          <w:p w:rsidR="0005740E" w:rsidRDefault="00560B46">
            <w:pPr>
              <w:contextualSpacing w:val="0"/>
              <w:jc w:val="center"/>
            </w:pPr>
            <w:r>
              <w:t>62.5-66.4</w:t>
            </w:r>
          </w:p>
        </w:tc>
        <w:tc>
          <w:tcPr>
            <w:tcW w:w="4422" w:type="dxa"/>
          </w:tcPr>
          <w:p w:rsidR="0005740E" w:rsidRDefault="00560B46">
            <w:pPr>
              <w:contextualSpacing w:val="0"/>
              <w:jc w:val="center"/>
            </w:pPr>
            <w:r>
              <w:t>D</w:t>
            </w:r>
          </w:p>
        </w:tc>
      </w:tr>
      <w:tr w:rsidR="0005740E">
        <w:tc>
          <w:tcPr>
            <w:tcW w:w="4434" w:type="dxa"/>
          </w:tcPr>
          <w:p w:rsidR="0005740E" w:rsidRDefault="00560B46">
            <w:pPr>
              <w:contextualSpacing w:val="0"/>
              <w:jc w:val="center"/>
            </w:pPr>
            <w:r>
              <w:t>59.5-62.4</w:t>
            </w:r>
          </w:p>
        </w:tc>
        <w:tc>
          <w:tcPr>
            <w:tcW w:w="4422" w:type="dxa"/>
          </w:tcPr>
          <w:p w:rsidR="0005740E" w:rsidRDefault="00560B46">
            <w:pPr>
              <w:contextualSpacing w:val="0"/>
              <w:jc w:val="center"/>
            </w:pPr>
            <w:r>
              <w:t>D-</w:t>
            </w:r>
          </w:p>
        </w:tc>
      </w:tr>
      <w:tr w:rsidR="0005740E">
        <w:tc>
          <w:tcPr>
            <w:tcW w:w="4434" w:type="dxa"/>
          </w:tcPr>
          <w:p w:rsidR="0005740E" w:rsidRDefault="00560B46">
            <w:pPr>
              <w:contextualSpacing w:val="0"/>
              <w:jc w:val="center"/>
            </w:pPr>
            <w:r>
              <w:t>0-59.4</w:t>
            </w:r>
          </w:p>
        </w:tc>
        <w:tc>
          <w:tcPr>
            <w:tcW w:w="4422" w:type="dxa"/>
          </w:tcPr>
          <w:p w:rsidR="0005740E" w:rsidRDefault="00560B46">
            <w:pPr>
              <w:contextualSpacing w:val="0"/>
              <w:jc w:val="center"/>
            </w:pPr>
            <w:r>
              <w:t>F</w:t>
            </w:r>
          </w:p>
        </w:tc>
      </w:tr>
    </w:tbl>
    <w:p w:rsidR="0005740E" w:rsidRDefault="0005740E">
      <w:pPr>
        <w:spacing w:before="100" w:after="100"/>
      </w:pPr>
    </w:p>
    <w:p w:rsidR="0005740E" w:rsidRDefault="00560B46">
      <w:pPr>
        <w:spacing w:before="100" w:after="100"/>
      </w:pPr>
      <w:r>
        <w:rPr>
          <w:b/>
          <w:sz w:val="20"/>
          <w:szCs w:val="20"/>
        </w:rPr>
        <w:t>CLASS SCHEDULE OF TOPICS OR OUTLINE:</w:t>
      </w:r>
      <w:r>
        <w:rPr>
          <w:sz w:val="20"/>
          <w:szCs w:val="20"/>
        </w:rPr>
        <w:t xml:space="preserve"> </w:t>
      </w:r>
    </w:p>
    <w:p w:rsidR="0005740E" w:rsidRDefault="00560B46">
      <w:pPr>
        <w:spacing w:before="100" w:after="100"/>
      </w:pPr>
      <w:r>
        <w:rPr>
          <w:sz w:val="20"/>
          <w:szCs w:val="20"/>
        </w:rPr>
        <w:t>See iCalendar</w:t>
      </w:r>
    </w:p>
    <w:p w:rsidR="0005740E" w:rsidRDefault="00560B46">
      <w:pPr>
        <w:pStyle w:val="Heading2"/>
      </w:pPr>
      <w:r>
        <w:rPr>
          <w:rFonts w:ascii="Times New Roman" w:eastAsia="Times New Roman" w:hAnsi="Times New Roman" w:cs="Times New Roman"/>
          <w:i w:val="0"/>
          <w:sz w:val="32"/>
          <w:szCs w:val="32"/>
        </w:rPr>
        <w:t>Required Materials</w:t>
      </w:r>
    </w:p>
    <w:p w:rsidR="0005740E" w:rsidRDefault="00560B46">
      <w:r>
        <w:t>It is expected that each student will bring the following items to class every day: physics textbook, graphing calculator, an erasabl</w:t>
      </w:r>
      <w:r>
        <w:t>e writing instrument, ruler, and notebook.</w:t>
      </w:r>
    </w:p>
    <w:p w:rsidR="0005740E" w:rsidRDefault="00560B46">
      <w:pPr>
        <w:pStyle w:val="Heading2"/>
      </w:pPr>
      <w:r>
        <w:rPr>
          <w:rFonts w:ascii="Times New Roman" w:eastAsia="Times New Roman" w:hAnsi="Times New Roman" w:cs="Times New Roman"/>
          <w:i w:val="0"/>
          <w:sz w:val="32"/>
          <w:szCs w:val="32"/>
        </w:rPr>
        <w:t>Class Policies</w:t>
      </w:r>
    </w:p>
    <w:p w:rsidR="0005740E" w:rsidRDefault="00560B46">
      <w:pPr>
        <w:spacing w:before="100" w:after="100"/>
      </w:pPr>
      <w:r>
        <w:rPr>
          <w:b/>
          <w:sz w:val="20"/>
          <w:szCs w:val="20"/>
        </w:rPr>
        <w:t>ATTENDANCE POLICY:</w:t>
      </w:r>
      <w:r>
        <w:rPr>
          <w:sz w:val="20"/>
          <w:szCs w:val="20"/>
        </w:rPr>
        <w:t xml:space="preserve"> A student should not miss more than 5 classes over the course of the semester.  EXCUSED absences (doctor appointments, dentist appointments, mandatory field trips, </w:t>
      </w:r>
      <w:proofErr w:type="spellStart"/>
      <w:r>
        <w:rPr>
          <w:sz w:val="20"/>
          <w:szCs w:val="20"/>
        </w:rPr>
        <w:t>etc</w:t>
      </w:r>
      <w:proofErr w:type="spellEnd"/>
      <w:r>
        <w:rPr>
          <w:sz w:val="20"/>
          <w:szCs w:val="20"/>
        </w:rPr>
        <w:t>) will not count against a student as long as documentation is provided.  If a student a</w:t>
      </w:r>
      <w:r>
        <w:rPr>
          <w:sz w:val="20"/>
          <w:szCs w:val="20"/>
        </w:rPr>
        <w:t>ccumulates more than 5 unexcused absences, the student’s final grade will drop a full letter grade.</w:t>
      </w:r>
    </w:p>
    <w:p w:rsidR="0005740E" w:rsidRDefault="00560B46">
      <w:pPr>
        <w:spacing w:before="100" w:after="100"/>
      </w:pPr>
      <w:r>
        <w:rPr>
          <w:b/>
          <w:sz w:val="20"/>
          <w:szCs w:val="20"/>
        </w:rPr>
        <w:t>STUDENT CONDUCT IN THE CLASSROOM:</w:t>
      </w:r>
      <w:r>
        <w:rPr>
          <w:sz w:val="20"/>
          <w:szCs w:val="20"/>
        </w:rPr>
        <w:t xml:space="preserve"> The instructor in the classroom and in conference will encourage free discussion, inquiry and expression. Student performa</w:t>
      </w:r>
      <w:r>
        <w:rPr>
          <w:sz w:val="20"/>
          <w:szCs w:val="20"/>
        </w:rPr>
        <w:t>nce will be evaluated wholly on an academic basis, not on opinions or political ideas unrelated to academic standards. However, in instances where a student does not comply with the Code of Student Behavior or with an instructor's reasonable conduct expect</w:t>
      </w:r>
      <w:r>
        <w:rPr>
          <w:sz w:val="20"/>
          <w:szCs w:val="20"/>
        </w:rPr>
        <w:t>ations in the classroom, such non-compliance can affect the student's evaluation and be cause for permanent removal from class or dismissal from College.</w:t>
      </w:r>
    </w:p>
    <w:p w:rsidR="0005740E" w:rsidRDefault="00560B46">
      <w:pPr>
        <w:spacing w:before="100" w:after="100"/>
      </w:pPr>
      <w:r>
        <w:rPr>
          <w:b/>
          <w:sz w:val="20"/>
          <w:szCs w:val="20"/>
        </w:rPr>
        <w:t>ACADEMIC INTEGRITY:</w:t>
      </w:r>
      <w:r>
        <w:rPr>
          <w:sz w:val="20"/>
          <w:szCs w:val="20"/>
        </w:rPr>
        <w:t xml:space="preserve"> If a faculty member discovers that a student has committed an academic integrity violation that warrants a sanction beyond a verbal warning, such as cheating or plagiarizing, the procedures outlined in the Academic Integrity Policy will be followed: </w:t>
      </w:r>
      <w:hyperlink r:id="rId9">
        <w:r>
          <w:rPr>
            <w:color w:val="0000FF"/>
            <w:sz w:val="20"/>
            <w:szCs w:val="20"/>
            <w:u w:val="single"/>
          </w:rPr>
          <w:t>http://www.delhi.edu/academics/provost/academic_integrity.php</w:t>
        </w:r>
      </w:hyperlink>
      <w:r>
        <w:rPr>
          <w:noProof/>
        </w:rPr>
        <mc:AlternateContent>
          <mc:Choice Requires="wpg">
            <w:drawing>
              <wp:inline distT="0" distB="0" distL="114300" distR="114300">
                <wp:extent cx="88900" cy="88900"/>
                <wp:effectExtent l="0" t="0" r="0" b="0"/>
                <wp:docPr id="2" name="Rectangle 2"/>
                <wp:cNvGraphicFramePr/>
                <a:graphic xmlns:a="http://schemas.openxmlformats.org/drawingml/2006/main">
                  <a:graphicData uri="http://schemas.microsoft.com/office/word/2010/wordprocessingShape">
                    <wps:wsp>
                      <wps:cNvSpPr/>
                      <wps:spPr>
                        <a:xfrm>
                          <a:off x="5303137" y="3737137"/>
                          <a:ext cx="85724" cy="85724"/>
                        </a:xfrm>
                        <a:prstGeom prst="rect">
                          <a:avLst/>
                        </a:prstGeom>
                        <a:noFill/>
                        <a:ln>
                          <a:noFill/>
                        </a:ln>
                      </wps:spPr>
                      <wps:txbx>
                        <w:txbxContent>
                          <w:p w:rsidR="0005740E" w:rsidRDefault="0005740E">
                            <w:pPr>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88900" cy="889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8900" cy="88900"/>
                        </a:xfrm>
                        <a:prstGeom prst="rect"/>
                        <a:ln/>
                      </pic:spPr>
                    </pic:pic>
                  </a:graphicData>
                </a:graphic>
              </wp:inline>
            </w:drawing>
          </mc:Fallback>
        </mc:AlternateContent>
      </w:r>
      <w:hyperlink r:id="rId11"/>
    </w:p>
    <w:p w:rsidR="0005740E" w:rsidRDefault="00560B46">
      <w:pPr>
        <w:spacing w:before="100" w:after="100"/>
      </w:pPr>
      <w:r>
        <w:rPr>
          <w:b/>
          <w:sz w:val="20"/>
          <w:szCs w:val="20"/>
        </w:rPr>
        <w:t>CELL PHONES/TAPE RECORDERS/ELECTR</w:t>
      </w:r>
      <w:r>
        <w:rPr>
          <w:b/>
          <w:sz w:val="20"/>
          <w:szCs w:val="20"/>
        </w:rPr>
        <w:t>ONIC DEVICES IN THE CLASSROOM:</w:t>
      </w:r>
      <w:r>
        <w:rPr>
          <w:sz w:val="20"/>
          <w:szCs w:val="20"/>
        </w:rPr>
        <w:t xml:space="preserve"> Students </w:t>
      </w:r>
      <w:r>
        <w:rPr>
          <w:sz w:val="20"/>
          <w:szCs w:val="20"/>
        </w:rPr>
        <w:t>are allowed to use cell phones and additional technology with instructor permission.</w:t>
      </w:r>
    </w:p>
    <w:p w:rsidR="0005740E" w:rsidRDefault="00560B46">
      <w:pPr>
        <w:spacing w:before="100" w:after="100"/>
      </w:pPr>
      <w:r>
        <w:rPr>
          <w:b/>
          <w:sz w:val="20"/>
          <w:szCs w:val="20"/>
        </w:rPr>
        <w:lastRenderedPageBreak/>
        <w:t>NEW YORK STATE EDUCATION LAW - ABSENCES FOR RELIGIOUS REASONS:</w:t>
      </w:r>
      <w:r>
        <w:rPr>
          <w:sz w:val="20"/>
          <w:szCs w:val="20"/>
        </w:rPr>
        <w:t xml:space="preserve"> Section 224-A allows a student to be excused from any examination or</w:t>
      </w:r>
      <w:r>
        <w:rPr>
          <w:sz w:val="20"/>
          <w:szCs w:val="20"/>
        </w:rPr>
        <w:t xml:space="preserve"> study or work requirements because of religious holidays. Each student must notify the instructor in advance so that an equivalent opportunity to make up any examination, study or work requirements he or she may have missed because of such absence may be </w:t>
      </w:r>
      <w:r>
        <w:rPr>
          <w:sz w:val="20"/>
          <w:szCs w:val="20"/>
        </w:rPr>
        <w:t>given.</w:t>
      </w:r>
    </w:p>
    <w:p w:rsidR="0005740E" w:rsidRDefault="00560B46">
      <w:pPr>
        <w:spacing w:before="100" w:after="100"/>
      </w:pPr>
      <w:r>
        <w:rPr>
          <w:b/>
          <w:sz w:val="20"/>
          <w:szCs w:val="20"/>
        </w:rPr>
        <w:t>INCLEMENT WEATHER:</w:t>
      </w:r>
      <w:r>
        <w:rPr>
          <w:sz w:val="20"/>
          <w:szCs w:val="20"/>
        </w:rPr>
        <w:t xml:space="preserve"> SUNY Delhi is a residential campus and stays open unless the Governor closes the College. Simply stated, class will rarely be canceled.  However, since this class is taught at Worcester Central School, this class will follow the s</w:t>
      </w:r>
      <w:r>
        <w:rPr>
          <w:sz w:val="20"/>
          <w:szCs w:val="20"/>
        </w:rPr>
        <w:t>chedule set by that institution.</w:t>
      </w:r>
    </w:p>
    <w:p w:rsidR="0005740E" w:rsidRDefault="00560B46">
      <w:pPr>
        <w:spacing w:before="100" w:after="100"/>
      </w:pPr>
      <w:r>
        <w:rPr>
          <w:b/>
          <w:sz w:val="20"/>
          <w:szCs w:val="20"/>
        </w:rPr>
        <w:t>ACCOMMODATIONS FOR STUDENTS WITH DISABILITIES:</w:t>
      </w:r>
      <w:r>
        <w:rPr>
          <w:sz w:val="20"/>
          <w:szCs w:val="20"/>
        </w:rPr>
        <w:t xml:space="preserve"> Reasonable accommodations will be provided to qualified students with documented disabilities. If you have a disability requiring accommodations in any class, contact and meet </w:t>
      </w:r>
      <w:r>
        <w:rPr>
          <w:sz w:val="20"/>
          <w:szCs w:val="20"/>
        </w:rPr>
        <w:t xml:space="preserve">with the Coordinator of Access and Equity Services. The office is in the Resnick Learning Center in Bush Hall and the office number is 746-4593. </w:t>
      </w:r>
      <w:r>
        <w:rPr>
          <w:sz w:val="20"/>
          <w:szCs w:val="20"/>
        </w:rPr>
        <w:br/>
        <w:t>Your request for accommodation will be discussed and if determined reasonable, you will be provided with the v</w:t>
      </w:r>
      <w:r>
        <w:rPr>
          <w:sz w:val="20"/>
          <w:szCs w:val="20"/>
        </w:rPr>
        <w:t xml:space="preserve">erification letter that must be taken to your course instructor for a signature and returned to the office within 10 days. </w:t>
      </w:r>
    </w:p>
    <w:p w:rsidR="0005740E" w:rsidRDefault="0005740E">
      <w:pPr>
        <w:spacing w:before="100" w:after="100"/>
      </w:pPr>
    </w:p>
    <w:sectPr w:rsidR="0005740E">
      <w:headerReference w:type="default" r:id="rId12"/>
      <w:pgSz w:w="12240" w:h="15840"/>
      <w:pgMar w:top="1440" w:right="1800" w:bottom="8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46" w:rsidRDefault="00560B46">
      <w:r>
        <w:separator/>
      </w:r>
    </w:p>
  </w:endnote>
  <w:endnote w:type="continuationSeparator" w:id="0">
    <w:p w:rsidR="00560B46" w:rsidRDefault="0056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46" w:rsidRDefault="00560B46">
      <w:r>
        <w:separator/>
      </w:r>
    </w:p>
  </w:footnote>
  <w:footnote w:type="continuationSeparator" w:id="0">
    <w:p w:rsidR="00560B46" w:rsidRDefault="0056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0E" w:rsidRDefault="00560B46">
    <w:pPr>
      <w:tabs>
        <w:tab w:val="center" w:pos="4680"/>
        <w:tab w:val="right" w:pos="9360"/>
      </w:tabs>
      <w:spacing w:before="720"/>
    </w:pPr>
    <w:r>
      <w:rPr>
        <w:sz w:val="12"/>
        <w:szCs w:val="12"/>
      </w:rPr>
      <w:t xml:space="preserve">Revised: </w:t>
    </w:r>
    <w:r>
      <w:rPr>
        <w:sz w:val="12"/>
        <w:szCs w:val="12"/>
      </w:rPr>
      <w:t>8/2015</w:t>
    </w:r>
  </w:p>
  <w:p w:rsidR="0005740E" w:rsidRDefault="0005740E">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45BE"/>
    <w:multiLevelType w:val="multilevel"/>
    <w:tmpl w:val="8BB075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740E"/>
    <w:rsid w:val="0005740E"/>
    <w:rsid w:val="00560B46"/>
    <w:rsid w:val="00D3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7C4E"/>
    <w:rPr>
      <w:rFonts w:ascii="Tahoma" w:hAnsi="Tahoma" w:cs="Tahoma"/>
      <w:sz w:val="16"/>
      <w:szCs w:val="16"/>
    </w:rPr>
  </w:style>
  <w:style w:type="character" w:customStyle="1" w:styleId="BalloonTextChar">
    <w:name w:val="Balloon Text Char"/>
    <w:basedOn w:val="DefaultParagraphFont"/>
    <w:link w:val="BalloonText"/>
    <w:uiPriority w:val="99"/>
    <w:semiHidden/>
    <w:rsid w:val="00D37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7C4E"/>
    <w:rPr>
      <w:rFonts w:ascii="Tahoma" w:hAnsi="Tahoma" w:cs="Tahoma"/>
      <w:sz w:val="16"/>
      <w:szCs w:val="16"/>
    </w:rPr>
  </w:style>
  <w:style w:type="character" w:customStyle="1" w:styleId="BalloonTextChar">
    <w:name w:val="Balloon Text Char"/>
    <w:basedOn w:val="DefaultParagraphFont"/>
    <w:link w:val="BalloonText"/>
    <w:uiPriority w:val="99"/>
    <w:semiHidden/>
    <w:rsid w:val="00D37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hi.edu/academics/provost/academic_integrity.php" TargetMode="External"/><Relationship Id="rId5" Type="http://schemas.openxmlformats.org/officeDocument/2006/relationships/webSettings" Target="webSettings.xml"/><Relationship Id="rId10" Type="http://schemas.openxmlformats.org/officeDocument/2006/relationships/image" Target="media/image03.png"/><Relationship Id="rId4" Type="http://schemas.openxmlformats.org/officeDocument/2006/relationships/settings" Target="settings.xml"/><Relationship Id="rId9" Type="http://schemas.openxmlformats.org/officeDocument/2006/relationships/hyperlink" Target="http://www.delhi.edu/academics/provost/academic_integrit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dcterms:created xsi:type="dcterms:W3CDTF">2015-08-18T15:03:00Z</dcterms:created>
  <dcterms:modified xsi:type="dcterms:W3CDTF">2015-08-18T15:03:00Z</dcterms:modified>
</cp:coreProperties>
</file>